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svgz" ContentType="image/svg+xml"/>
  <Override PartName="/word/media/rId24.svgz" ContentType="image/svg+xml"/>
  <Override PartName="/word/media/rId20.svgz" ContentType="image/svg+xml"/>
  <Override PartName="/word/media/rId3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Central</w:t>
      </w:r>
      <w:r>
        <w:t xml:space="preserve"> </w:t>
      </w:r>
      <w:r>
        <w:t xml:space="preserve">Sierras</w:t>
      </w:r>
    </w:p>
    <w:p>
      <w:pPr>
        <w:pStyle w:val="FirstParagraph"/>
      </w:pPr>
      <w:r>
        <w:rPr>
          <w:iCs/>
          <w:i/>
          <w:bCs/>
          <w:b/>
        </w:rPr>
        <w:t xml:space="preserve">Our work</w:t>
      </w:r>
      <w:r>
        <w:t xml:space="preserve"> </w:t>
      </w:r>
      <w:r>
        <w:t xml:space="preserve">takes place in the Central Sierra Nevada mountain range at the landscape and watershed scales (click the map below for more information).</w:t>
      </w:r>
    </w:p>
    <w:p>
      <w:pPr>
        <w:pStyle w:val="BodyText"/>
      </w:pPr>
      <w:r>
        <w:t xml:space="preserve">```{r study_area}</w:t>
      </w:r>
      <w:r>
        <w:t xml:space="preserve"> </w:t>
      </w:r>
      <w:r>
        <w:t xml:space="preserve">#| echo: false</w:t>
      </w:r>
      <w:r>
        <w:t xml:space="preserve"> </w:t>
      </w:r>
      <w:r>
        <w:t xml:space="preserve">#| warning: false</w:t>
      </w:r>
      <w:r>
        <w:t xml:space="preserve"> </w:t>
      </w:r>
      <w:r>
        <w:t xml:space="preserve">#| message: false</w:t>
      </w:r>
      <w:r>
        <w:t xml:space="preserve"> </w:t>
      </w:r>
      <w:r>
        <w:t xml:space="preserve">#| error: false</w:t>
      </w:r>
      <w:r>
        <w:t xml:space="preserve"> </w:t>
      </w:r>
      <w:r>
        <w:t xml:space="preserve">library(dplyr)</w:t>
      </w:r>
      <w:r>
        <w:t xml:space="preserve"> </w:t>
      </w:r>
      <w:r>
        <w:t xml:space="preserve">library(leaflet)</w:t>
      </w:r>
      <w:r>
        <w:t xml:space="preserve"> </w:t>
      </w:r>
      <w:r>
        <w:t xml:space="preserve">library(leafem)</w:t>
      </w:r>
      <w:r>
        <w:t xml:space="preserve"> </w:t>
      </w:r>
      <w:r>
        <w:t xml:space="preserve">library(rgdal)</w:t>
      </w:r>
    </w:p>
    <w:bookmarkStart w:id="36" w:name="X7bf210150c69555f5e37b49ac7f09ebf115909b"/>
    <w:p>
      <w:pPr>
        <w:pStyle w:val="Heading1"/>
      </w:pPr>
      <w:r>
        <w:t xml:space="preserve">TCSI_outline &lt;- readLines(</w:t>
      </w:r>
      <w:r>
        <w:t xml:space="preserve">“</w:t>
      </w:r>
      <w:r>
        <w:t xml:space="preserve">input/TCSI_boundary.geojson</w:t>
      </w:r>
      <w:r>
        <w:t xml:space="preserve">”</w:t>
      </w:r>
      <w:r>
        <w:t xml:space="preserve">) %&gt;% paste(collapse =</w:t>
      </w:r>
      <w:r>
        <w:t xml:space="preserve"> </w:t>
      </w:r>
      <w:r>
        <w:t xml:space="preserve">“</w:t>
      </w:r>
      <w:r>
        <w:t xml:space="preserve">”</w:t>
      </w:r>
      <w:r>
        <w:t xml:space="preserve">)</w:t>
      </w:r>
    </w:p>
    <w:p>
      <w:pPr>
        <w:pStyle w:val="FirstParagraph"/>
      </w:pPr>
      <w:r>
        <w:t xml:space="preserve">TCSI_outline &lt;- readOGR(</w:t>
      </w:r>
      <w:r>
        <w:t xml:space="preserve">“</w:t>
      </w:r>
      <w:r>
        <w:t xml:space="preserve">input/TCSI_boundary.geojson</w:t>
      </w:r>
      <w:r>
        <w:t xml:space="preserve">”</w:t>
      </w:r>
      <w:r>
        <w:t xml:space="preserve">)</w:t>
      </w:r>
      <w:r>
        <w:t xml:space="preserve"> </w:t>
      </w:r>
      <w:r>
        <w:t xml:space="preserve">tahoe_outline &lt;- readLines(</w:t>
      </w:r>
      <w:r>
        <w:t xml:space="preserve">“</w:t>
      </w:r>
      <w:r>
        <w:t xml:space="preserve">input/tahoe_outline.geojson</w:t>
      </w:r>
      <w:r>
        <w:t xml:space="preserve">”</w:t>
      </w:r>
      <w:r>
        <w:t xml:space="preserve">) %&gt;% paste(collapse =</w:t>
      </w:r>
      <w:r>
        <w:t xml:space="preserve"> </w:t>
      </w:r>
      <w:r>
        <w:t xml:space="preserve">“</w:t>
      </w:r>
      <w:r>
        <w:t xml:space="preserve">”</w:t>
      </w:r>
      <w:r>
        <w:t xml:space="preserve">)</w:t>
      </w:r>
      <w:r>
        <w:t xml:space="preserve"> </w:t>
      </w:r>
      <w:r>
        <w:t xml:space="preserve">caples_outline &lt;- readLines(</w:t>
      </w:r>
      <w:r>
        <w:t xml:space="preserve">“</w:t>
      </w:r>
      <w:r>
        <w:t xml:space="preserve">input/caples_boundary.geojson</w:t>
      </w:r>
      <w:r>
        <w:t xml:space="preserve">”</w:t>
      </w:r>
      <w:r>
        <w:t xml:space="preserve">) %&gt;% paste(collapse =</w:t>
      </w:r>
      <w:r>
        <w:t xml:space="preserve"> </w:t>
      </w:r>
      <w:r>
        <w:t xml:space="preserve">“</w:t>
      </w:r>
      <w:r>
        <w:t xml:space="preserve">”</w:t>
      </w:r>
      <w:r>
        <w:t xml:space="preserve">)</w:t>
      </w:r>
    </w:p>
    <w:p>
      <w:pPr>
        <w:pStyle w:val="BodyText"/>
      </w:pPr>
      <w:r>
        <w:t xml:space="preserve">TCSI_popup &lt;-</w:t>
      </w:r>
      <w:r>
        <w:t xml:space="preserve"> </w:t>
      </w:r>
      <w:r>
        <w:t xml:space="preserve">“</w:t>
      </w:r>
      <w:r>
        <w:t xml:space="preserve">Tahoe Central Sierra Initiative</w:t>
      </w:r>
      <w:r>
        <w:t xml:space="preserve">”</w:t>
      </w:r>
      <w:r>
        <w:t xml:space="preserve"> </w:t>
      </w:r>
      <w:r>
        <w:t xml:space="preserve">tahoe_popup &lt;-</w:t>
      </w:r>
      <w:r>
        <w:t xml:space="preserve"> </w:t>
      </w:r>
      <w:r>
        <w:t xml:space="preserve">“</w:t>
      </w:r>
      <w:r>
        <w:t xml:space="preserve">Lake Tahoe Basin</w:t>
      </w:r>
      <w:r>
        <w:t xml:space="preserve">”</w:t>
      </w:r>
      <w:r>
        <w:t xml:space="preserve"> </w:t>
      </w:r>
      <w:r>
        <w:t xml:space="preserve">caples_popup &lt;-</w:t>
      </w:r>
      <w:r>
        <w:t xml:space="preserve"> </w:t>
      </w:r>
      <w:r>
        <w:t xml:space="preserve">“</w:t>
      </w:r>
      <w:r>
        <w:t xml:space="preserve">Caples Creek Watershed</w:t>
      </w:r>
      <w:r>
        <w:t xml:space="preserve">”</w:t>
      </w:r>
    </w:p>
    <w:p>
      <w:pPr>
        <w:pStyle w:val="BodyText"/>
      </w:pPr>
      <w:r>
        <w:t xml:space="preserve">tcsi_all &lt;- readOGR(</w:t>
      </w:r>
      <w:r>
        <w:t xml:space="preserve">“</w:t>
      </w:r>
      <w:r>
        <w:t xml:space="preserve">input/all.geojson</w:t>
      </w:r>
      <w:r>
        <w:t xml:space="preserve">”</w:t>
      </w:r>
      <w:r>
        <w:t xml:space="preserve">)</w:t>
      </w:r>
    </w:p>
    <w:p>
      <w:pPr>
        <w:pStyle w:val="BodyText"/>
      </w:pPr>
      <w:r>
        <w:t xml:space="preserve">palette &lt;- hcl.colors(256, palette =</w:t>
      </w:r>
      <w:r>
        <w:t xml:space="preserve"> </w:t>
      </w:r>
      <w:r>
        <w:t xml:space="preserve">“</w:t>
      </w:r>
      <w:r>
        <w:t xml:space="preserve">fall</w:t>
      </w:r>
      <w:r>
        <w:t xml:space="preserve">”</w:t>
      </w:r>
      <w:r>
        <w:t xml:space="preserve">)</w:t>
      </w:r>
      <w:r>
        <w:t xml:space="preserve"> </w:t>
      </w:r>
      <w:r>
        <w:t xml:space="preserve">palette[1] &lt;-</w:t>
      </w:r>
      <w:r>
        <w:t xml:space="preserve"> </w:t>
      </w:r>
      <w:r>
        <w:t xml:space="preserve">“</w:t>
      </w:r>
      <w:r>
        <w:t xml:space="preserve">#0000FF00</w:t>
      </w:r>
      <w:r>
        <w:t xml:space="preserve">”</w:t>
      </w:r>
    </w:p>
    <w:p>
      <w:pPr>
        <w:pStyle w:val="BodyText"/>
      </w:pPr>
      <w:r>
        <w:t xml:space="preserve">jsCode &lt;- paste0(’</w:t>
      </w:r>
      <w:r>
        <w:t xml:space="preserve"> </w:t>
      </w:r>
      <w:r>
        <w:t xml:space="preserve">function(el, x, data) {</w:t>
      </w:r>
      <w:r>
        <w:t xml:space="preserve"> </w:t>
      </w:r>
      <w:r>
        <w:t xml:space="preserve">var marker = document.getElementsByClassName(</w:t>
      </w:r>
      <w:r>
        <w:t xml:space="preserve">“</w:t>
      </w:r>
      <w:r>
        <w:t xml:space="preserve">leaflet-interactive</w:t>
      </w:r>
      <w:r>
        <w:t xml:space="preserve">”</w:t>
      </w:r>
      <w:r>
        <w:t xml:space="preserve">);</w:t>
      </w:r>
      <w:r>
        <w:t xml:space="preserve"> </w:t>
      </w:r>
      <w:r>
        <w:t xml:space="preserve">for(var i=0; i &lt; marker.length; i++){</w:t>
      </w:r>
      <w:r>
        <w:t xml:space="preserve"> </w:t>
      </w:r>
      <w:r>
        <w:t xml:space="preserve">(function(){</w:t>
      </w:r>
      <w:r>
        <w:t xml:space="preserve"> </w:t>
      </w:r>
      <w:r>
        <w:t xml:space="preserve">var v = data.url[i];</w:t>
      </w:r>
      <w:r>
        <w:t xml:space="preserve"> </w:t>
      </w:r>
      <w:r>
        <w:t xml:space="preserve">marker[i].addEventListener(</w:t>
      </w:r>
      <w:r>
        <w:t xml:space="preserve">“</w:t>
      </w:r>
      <w:r>
        <w:t xml:space="preserve">click</w:t>
      </w:r>
      <w:r>
        <w:t xml:space="preserve">”</w:t>
      </w:r>
      <w:r>
        <w:t xml:space="preserve">, function() { window.open(v, “_self”);}, false);</w:t>
      </w:r>
      <w:r>
        <w:t xml:space="preserve"> </w:t>
      </w:r>
      <w:r>
        <w:t xml:space="preserve">}());</w:t>
      </w:r>
      <w:r>
        <w:t xml:space="preserve"> </w:t>
      </w:r>
      <w:r>
        <w:t xml:space="preserve">}</w:t>
      </w:r>
      <w:r>
        <w:t xml:space="preserve"> </w:t>
      </w:r>
      <w:r>
        <w:t xml:space="preserve">}</w:t>
      </w:r>
      <w:r>
        <w:t xml:space="preserve"> </w:t>
      </w:r>
      <w:r>
        <w:t xml:space="preserve">’)</w:t>
      </w:r>
    </w:p>
    <w:p>
      <w:pPr>
        <w:pStyle w:val="BodyText"/>
      </w:pPr>
      <w:r>
        <w:t xml:space="preserve">leaflet(tcsi_all) %&gt;%</w:t>
      </w:r>
      <w:r>
        <w:t xml:space="preserve"> </w:t>
      </w:r>
      <w:r>
        <w:t xml:space="preserve">addMapPane(</w:t>
      </w:r>
      <w:r>
        <w:t xml:space="preserve">“</w:t>
      </w:r>
      <w:r>
        <w:t xml:space="preserve">outer</w:t>
      </w:r>
      <w:r>
        <w:t xml:space="preserve">”</w:t>
      </w:r>
      <w:r>
        <w:t xml:space="preserve">, zIndex = 420) %&gt;%</w:t>
      </w:r>
      <w:r>
        <w:t xml:space="preserve"> </w:t>
      </w:r>
      <w:r>
        <w:t xml:space="preserve">addMapPane(</w:t>
      </w:r>
      <w:r>
        <w:t xml:space="preserve">“</w:t>
      </w:r>
      <w:r>
        <w:t xml:space="preserve">inner</w:t>
      </w:r>
      <w:r>
        <w:t xml:space="preserve">”</w:t>
      </w:r>
      <w:r>
        <w:t xml:space="preserve">, zIndex = 400) %&gt;%</w:t>
      </w:r>
      <w:r>
        <w:t xml:space="preserve"> </w:t>
      </w:r>
      <w:r>
        <w:t xml:space="preserve">addTiles(</w:t>
      </w:r>
      <w:r>
        <w:t xml:space="preserve">“</w:t>
      </w:r>
      <w:r>
        <w:t xml:space="preserve">https://mt1.google.com/vt/lyrs=y&amp;x={x}&amp;y={y}&amp;z={z}</w:t>
      </w:r>
      <w:r>
        <w:t xml:space="preserve">”</w:t>
      </w:r>
      <w:r>
        <w:t xml:space="preserve">) %&gt;% # Add default OpenStreetMap map tiles</w:t>
      </w:r>
      <w:r>
        <w:t xml:space="preserve"> </w:t>
      </w:r>
      <w:r>
        <w:t xml:space="preserve"># addGeotiff(</w:t>
      </w:r>
      <w:r>
        <w:t xml:space="preserve">“</w:t>
      </w:r>
      <w:r>
        <w:t xml:space="preserve">input/f3veg_NLCD_300m_TCSI.tif</w:t>
      </w:r>
      <w:r>
        <w:t xml:space="preserve">”</w:t>
      </w:r>
      <w:r>
        <w:t xml:space="preserve">, opacity = 0.7, colorOptions = colorOptions(</w:t>
      </w:r>
      <w:r>
        <w:t xml:space="preserve"> </w:t>
      </w:r>
      <w:r>
        <w:t xml:space="preserve"># palette = palette,</w:t>
      </w:r>
      <w:r>
        <w:t xml:space="preserve"> </w:t>
      </w:r>
      <w:r>
        <w:t xml:space="preserve"># na.color =</w:t>
      </w:r>
      <w:r>
        <w:t xml:space="preserve"> </w:t>
      </w:r>
      <w:r>
        <w:t xml:space="preserve">“</w:t>
      </w:r>
      <w:r>
        <w:t xml:space="preserve">transparent</w:t>
      </w:r>
      <w:r>
        <w:t xml:space="preserve">”</w:t>
      </w:r>
      <w:r>
        <w:t xml:space="preserve"> </w:t>
      </w:r>
      <w:r>
        <w:t xml:space="preserve"># )) %&gt;%</w:t>
      </w:r>
      <w:r>
        <w:t xml:space="preserve"> </w:t>
      </w:r>
      <w:r>
        <w:t xml:space="preserve">addPolygons(weight = 0, fillOpacity = 0.5, opacity = 1, fillColor = ~color, label = ~name, labelOptions = labelOptions(textsize =</w:t>
      </w:r>
      <w:r>
        <w:t xml:space="preserve"> </w:t>
      </w:r>
      <w:r>
        <w:t xml:space="preserve">“</w:t>
      </w:r>
      <w:r>
        <w:t xml:space="preserve">1.25em</w:t>
      </w:r>
      <w:r>
        <w:t xml:space="preserve">”</w:t>
      </w:r>
      <w:r>
        <w:t xml:space="preserve">), options = pathOptions(pane = ~pane)) %&gt;%</w:t>
      </w:r>
      <w:r>
        <w:t xml:space="preserve"> </w:t>
      </w:r>
      <w:r>
        <w:t xml:space="preserve"># addGeoJSON(TCSI_outline, weight = 0, fillOpacity = 0.5, opacity = 1, fillColor =</w:t>
      </w:r>
      <w:r>
        <w:t xml:space="preserve"> </w:t>
      </w:r>
      <w:r>
        <w:t xml:space="preserve">“</w:t>
      </w:r>
      <w:r>
        <w:t xml:space="preserve">green</w:t>
      </w:r>
      <w:r>
        <w:t xml:space="preserve">”</w:t>
      </w:r>
      <w:r>
        <w:t xml:space="preserve">, label = TCSI_popup) %&gt;%</w:t>
      </w:r>
      <w:r>
        <w:t xml:space="preserve"> </w:t>
      </w:r>
      <w:r>
        <w:t xml:space="preserve">setView(lng = -121, lat = 38.5, zoom = 08) %&gt;%</w:t>
      </w:r>
      <w:r>
        <w:t xml:space="preserve"> </w:t>
      </w:r>
      <w:r>
        <w:t xml:space="preserve">htmlwidgets::onRender(jsCode, data = tcsi_all@data)</w:t>
      </w:r>
      <w:r>
        <w:t xml:space="preserve"> </w:t>
      </w:r>
      <w:r>
        <w:t xml:space="preserve">```</w:t>
      </w:r>
    </w:p>
    <w:bookmarkStart w:id="23" w:name="tahoe-central-sierra-intitiative"/>
    <w:p>
      <w:pPr>
        <w:pStyle w:val="Heading2"/>
      </w:pPr>
      <w:r>
        <w:t xml:space="preserve">Tahoe Central Sierra Intitiative</w:t>
      </w:r>
    </w:p>
    <w:p>
      <w:pPr>
        <w:pStyle w:val="FirstParagraph"/>
      </w:pPr>
      <w:r>
        <w:t xml:space="preserve">The Tahoe-Central Sierra Initiative (TCSI) working group’s landscape is a 1 million ha section of Central California forested land. The TCSI is home to a high diversity of vegetation communities, flora, and fauna.</w:t>
      </w:r>
    </w:p>
    <w:p>
      <w:pPr>
        <w:pStyle w:val="BodyText"/>
      </w:pPr>
      <w:r>
        <w:t xml:space="preserve">The TCSI spans an elevational gradient from 210 - 3400 meters. From the Central Valley to the peaks of the Sierras, the TCSI spans five distinct life zones (i.e., biotic zones). Life zones are areas that have similar abiotic conditions (e.g., climate, soils, etc.), plants and animals. In the TCSI, life zones include: foothill woodland zone, lower montane forest zone, the upper montane forest zone, the subalpine forest zone, and the alpine zone.</w:t>
      </w:r>
    </w:p>
    <w:p>
      <w:pPr>
        <w:pStyle w:val="BodyText"/>
      </w:pPr>
      <w:r>
        <w:t xml:space="preserve">There are 14 dominant vegetation types in the TCSI that vary in their occurrence (A) and density across the gradient (B).</w:t>
      </w:r>
    </w:p>
    <w:p>
      <w:pPr>
        <w:pStyle w:val="CaptionedFigure"/>
      </w:pPr>
      <w:r>
        <w:drawing>
          <wp:inline>
            <wp:extent cx="3810000" cy="2540000"/>
            <wp:effectExtent b="0" l="0" r="0" t="0"/>
            <wp:docPr descr="The vegetation types that occur in the TCSI vary spatially (A) and in their occurrence at different elevations (B). Colors used for vegetation types in figure B correspond to vegetation type colors in figure A." title="" id="21" name="Picture"/>
            <a:graphic>
              <a:graphicData uri="http://schemas.openxmlformats.org/drawingml/2006/picture">
                <pic:pic>
                  <pic:nvPicPr>
                    <pic:cNvPr descr="SVG_images/TCSI_map_density.svg" id="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The vegetation types that occur in the TCSI vary spatially (A) and in their occurrence at different elevations (B). Colors used for vegetation types in figure B correspond to vegetation type colors in figure A.</w:t>
      </w:r>
    </w:p>
    <w:p>
      <w:pPr>
        <w:pStyle w:val="BodyText"/>
      </w:pPr>
      <w:r>
        <w:t xml:space="preserve">Considering wildlife communities at the scale of the Tahoe-Central Sierra Initiative landscape is critical because wildlife communities occur at large scales. Therefore, working at a spatial scale that encompass landscape level community processes (e.g., dispersal, connectivity, patch size, habitat diversity, neighborhood effects etc.) and disturbances (e.g., large fires, climate change, large scale management) can impact our evaluations of current communities and predictions into the future. Further working on the TCSI landscape is a fruitful enterprise because of the opportunities to collaborate and interact with an established group of stakeholders. The TCSI team has conducted a series of landscape scenarios (LANDIS II dynamic growth models) to explore how the area will change with climate change (2 pathways) and management scenarios (n=6).</w:t>
      </w:r>
    </w:p>
    <w:bookmarkEnd w:id="23"/>
    <w:bookmarkStart w:id="35" w:name="watershed-studies"/>
    <w:p>
      <w:pPr>
        <w:pStyle w:val="Heading2"/>
      </w:pPr>
      <w:r>
        <w:t xml:space="preserve">Watershed studies</w:t>
      </w:r>
    </w:p>
    <w:p>
      <w:pPr>
        <w:pStyle w:val="FirstParagraph"/>
      </w:pPr>
      <w:r>
        <w:t xml:space="preserve">Examining wildlife communities at the watershed scale is important because this is often the scale at which management (e.g. the application of prescribed fire or mechanical treatments) and disturbances (e.g., beetle kill, wildfire) occurs or can be adequately assessed. Furthermore, pre-existing data from multiple watersheds such as the Lake Tahoe Basin and Caples Creek Watershed can be utilized to refine wildlife resilience metrics for specific forested ecosystems and disturbances.</w:t>
      </w:r>
    </w:p>
    <w:bookmarkStart w:id="30" w:name="lake-tahoe-basin"/>
    <w:p>
      <w:pPr>
        <w:pStyle w:val="Heading3"/>
      </w:pPr>
      <w:r>
        <w:t xml:space="preserve">Lake Tahoe Basin</w:t>
      </w:r>
    </w:p>
    <w:p>
      <w:pPr>
        <w:pStyle w:val="FirstParagraph"/>
      </w:pPr>
      <w:r>
        <w:t xml:space="preserve">The Lake Tahoe basin is one of our focal watersheds. Lake Tahoe basin is located between two biogeographic provinces, the Great Basin and the Sierra Nevada, and supports high biodiversity. There are over 1,200 species of plants and animals in the basin (LTWA). The basin also has a steep elevational gradient which means that it spans four life zones: lower montane, upper montane, subalpine, and alpine. Eight major vegetation types are common within the Lake Tahoe basin (A) and they range in their density across the elevational gradient (B).</w:t>
      </w:r>
    </w:p>
    <w:p>
      <w:pPr>
        <w:pStyle w:val="CaptionedFigure"/>
      </w:pPr>
      <w:r>
        <w:drawing>
          <wp:inline>
            <wp:extent cx="3810000" cy="2540000"/>
            <wp:effectExtent b="0" l="0" r="0" t="0"/>
            <wp:docPr descr="The vegetation types that occur in the Lake Tahoe basin vary spatially (A) and in their occurrence at different elevations (B). Colors used for vegetation types in figure B correspond to vegetation type colors in figure A." title="" id="25" name="Picture"/>
            <a:graphic>
              <a:graphicData uri="http://schemas.openxmlformats.org/drawingml/2006/picture">
                <pic:pic>
                  <pic:nvPicPr>
                    <pic:cNvPr descr="SVG_images/LTB_map_Dist.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The vegetation types that occur in the Lake Tahoe basin vary spatially (A) and in their occurrence at different elevations (B). Colors used for vegetation types in figure B correspond to vegetation type colors in figure A.</w:t>
      </w:r>
    </w:p>
    <w:p>
      <w:pPr>
        <w:pStyle w:val="BodyText"/>
      </w:pPr>
      <w:r>
        <w:t xml:space="preserve">When comparing the plants and animals that occur in those different vegetation types, we’ve found that generally, overlap in species occurrence is more common for vegetation types in the same life zone. For example, (A) Jeffrey pine (JPN, orange circle), Sierran mixed conifer (SMC, dark green circle), and White fir (WFR, purple circle) forests are commonly found in the lower montane zone (B) and they have high overlap in the types of plants and animal that occur in those forest types.</w:t>
      </w:r>
    </w:p>
    <w:p>
      <w:pPr>
        <w:pStyle w:val="CaptionedFigure"/>
      </w:pPr>
      <w:r>
        <w:drawing>
          <wp:inline>
            <wp:extent cx="3810000" cy="2540000"/>
            <wp:effectExtent b="0" l="0" r="0" t="0"/>
            <wp:docPr descr="In this figure, each large circle is a vegetation type, and each small circle is a species (green vertebrates, gold plants). Lines connecting species to vegetation types indicate that the species occurs in that vegetation type. Species may occur in multiple vegetation types (have multiple connecting lines) or occur in one vegetation type." title="" id="28" name="Picture"/>
            <a:graphic>
              <a:graphicData uri="http://schemas.openxmlformats.org/drawingml/2006/picture">
                <pic:pic>
                  <pic:nvPicPr>
                    <pic:cNvPr descr="SVG_images/LTB_Overlap_Dist.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In this figure, each large circle is a vegetation type, and each small circle is a species (green vertebrates, gold plants). Lines connecting species to vegetation types indicate that the species occurs in that vegetation type. Species may occur in multiple vegetation types (have multiple connecting lines) or occur in one vegetation type.</w:t>
      </w:r>
    </w:p>
    <w:bookmarkEnd w:id="30"/>
    <w:bookmarkStart w:id="34" w:name="caples-creek"/>
    <w:p>
      <w:pPr>
        <w:pStyle w:val="Heading3"/>
      </w:pPr>
      <w:r>
        <w:t xml:space="preserve">Caples Creek</w:t>
      </w:r>
    </w:p>
    <w:p>
      <w:pPr>
        <w:pStyle w:val="FirstParagraph"/>
      </w:pPr>
      <w:r>
        <w:t xml:space="preserve">The Caples Creek Ecological Restoration Project (Caples Project) is located in the Eldorado National Forest. Since 2017, project scientists from the USDA Forest Service &amp; California Academy of Sciences have been studying forest health and resilience in mixed conifer forests at Caples. The team has been monitoring the avian and plant response to the intentional application of fire (the 2019 prescribed Caples fire), and are comparing this to a severe wildfire (the 2021 Caldor Fire). Our collaborative team has surveyed over 80 sites in the Caples Watershed each year gathering traditional avian point-count data as well as passive acoustic recordings, vegetation, and fuel measurements. The Caples Project provides a unique opportunity to contrast wildlife resilience metrics for forests treated with fire intentionally applied to enhance forest resilience with forests experiencing severe wildfire—providing a direct measure of the value of prescribed fire at the watershed scale and the effect of different fire severity on wildlife resilience.</w:t>
      </w:r>
    </w:p>
    <w:p>
      <w:pPr>
        <w:pStyle w:val="CaptionedFigure"/>
      </w:pPr>
      <w:r>
        <w:drawing>
          <wp:inline>
            <wp:extent cx="5334000" cy="3000375"/>
            <wp:effectExtent b="0" l="0" r="0" t="0"/>
            <wp:docPr descr="Loss of resilience and its recovery: Loss of forest resilience due to burnable biomass buildup here from our study area, the Caples creek watershed (top) and impact of controlled fire just outside the watershed (middle). After the Caples Fire, a variety of burn-severities create forest heterogeneity (bottom) that may increase forest resilience to factors promoting future fires © Durrell D. Kapan, California Academy of Sciences." title="" id="32" name="Picture"/>
            <a:graphic>
              <a:graphicData uri="http://schemas.openxmlformats.org/drawingml/2006/picture">
                <pic:pic>
                  <pic:nvPicPr>
                    <pic:cNvPr descr="images/Caples_pre_post_panoramas.jpg" id="33"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rPr>
          <w:iCs/>
          <w:i/>
          <w:bCs/>
          <w:b/>
        </w:rPr>
        <w:t xml:space="preserve">Loss of resilience and its recovery:</w:t>
      </w:r>
      <w:r>
        <w:t xml:space="preserve"> </w:t>
      </w:r>
      <w:r>
        <w:t xml:space="preserve">Loss of forest resilience due to burnable biomass buildup here from our study area, the Caples creek watershed (top) and impact of controlled fire just outside the watershed (middle). After the Caples Fire, a variety of burn-severities create forest heterogeneity (bottom) that may increase forest resilience to factors promoting future fires © Durrell D. Kapan, California Academy of Sciences.</w:t>
      </w:r>
    </w:p>
    <w:bookmarkEnd w:id="34"/>
    <w:bookmarkEnd w:id="35"/>
    <w:bookmarkEnd w:id="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svgz" /><Relationship Type="http://schemas.openxmlformats.org/officeDocument/2006/relationships/image" Id="rId24" Target="media/rId24.svgz" /><Relationship Type="http://schemas.openxmlformats.org/officeDocument/2006/relationships/image" Id="rId20" Target="media/rId20.svgz" /><Relationship Type="http://schemas.openxmlformats.org/officeDocument/2006/relationships/image" Id="rId31" Target="media/rId31.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Central Sierras</dc:title>
  <dc:creator/>
  <cp:keywords/>
  <dcterms:created xsi:type="dcterms:W3CDTF">2023-08-24T23:18:46Z</dcterms:created>
  <dcterms:modified xsi:type="dcterms:W3CDTF">2023-08-24T23:18:46Z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ormat">
    <vt:lpwstr/>
  </property>
</Properties>
</file>